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7B4" w:rsidRPr="000B45EE" w:rsidRDefault="000B45EE" w:rsidP="004C17B4">
      <w:pPr>
        <w:pStyle w:val="Heading1"/>
        <w:spacing w:before="120" w:after="120"/>
        <w:jc w:val="center"/>
        <w:rPr>
          <w:rFonts w:ascii="Arial" w:hAnsi="Arial" w:cs="Arial"/>
          <w:sz w:val="24"/>
          <w:szCs w:val="24"/>
        </w:rPr>
      </w:pPr>
      <w:bookmarkStart w:id="0" w:name="_Toc119478320"/>
      <w:bookmarkStart w:id="1" w:name="OLE_LINK1"/>
      <w:bookmarkStart w:id="2" w:name="OLE_LINK2"/>
      <w:r w:rsidRPr="000B45EE">
        <w:rPr>
          <w:rFonts w:ascii="Arial" w:hAnsi="Arial" w:cs="Arial"/>
          <w:sz w:val="26"/>
          <w:szCs w:val="26"/>
        </w:rPr>
        <w:t>Namoi Joint Organisation</w:t>
      </w:r>
      <w:r w:rsidR="008326A0">
        <w:rPr>
          <w:rFonts w:ascii="Arial" w:hAnsi="Arial" w:cs="Arial"/>
          <w:sz w:val="26"/>
          <w:szCs w:val="26"/>
        </w:rPr>
        <w:t xml:space="preserve"> of Councils trading as Namoi Unlimited</w:t>
      </w:r>
      <w:r w:rsidR="004C17B4" w:rsidRPr="000B45EE">
        <w:rPr>
          <w:rFonts w:ascii="Arial" w:hAnsi="Arial" w:cs="Arial"/>
          <w:sz w:val="26"/>
          <w:szCs w:val="26"/>
        </w:rPr>
        <w:br/>
      </w:r>
      <w:r w:rsidR="004C17B4" w:rsidRPr="000B45EE">
        <w:rPr>
          <w:rFonts w:ascii="Arial" w:hAnsi="Arial" w:cs="Arial"/>
          <w:caps/>
          <w:sz w:val="26"/>
          <w:szCs w:val="26"/>
        </w:rPr>
        <w:t>Notice to Public</w:t>
      </w:r>
      <w:r w:rsidR="004C17B4" w:rsidRPr="000B45EE">
        <w:rPr>
          <w:rFonts w:ascii="Arial" w:hAnsi="Arial" w:cs="Arial"/>
          <w:sz w:val="26"/>
          <w:szCs w:val="26"/>
        </w:rPr>
        <w:br/>
      </w:r>
      <w:r w:rsidR="004C17B4" w:rsidRPr="000B45EE">
        <w:rPr>
          <w:rFonts w:ascii="Arial" w:hAnsi="Arial" w:cs="Arial"/>
          <w:caps/>
          <w:sz w:val="24"/>
          <w:szCs w:val="24"/>
        </w:rPr>
        <w:t>Presentation of Financial Reports</w:t>
      </w:r>
      <w:r w:rsidR="004C17B4" w:rsidRPr="000B45EE">
        <w:rPr>
          <w:rFonts w:ascii="Arial" w:hAnsi="Arial" w:cs="Arial"/>
          <w:sz w:val="24"/>
          <w:szCs w:val="24"/>
        </w:rPr>
        <w:t xml:space="preserve"> </w:t>
      </w:r>
      <w:r w:rsidR="004C17B4" w:rsidRPr="000B45EE">
        <w:rPr>
          <w:rFonts w:ascii="Arial" w:hAnsi="Arial" w:cs="Arial"/>
          <w:caps/>
          <w:sz w:val="24"/>
          <w:szCs w:val="24"/>
        </w:rPr>
        <w:t>for the</w:t>
      </w:r>
      <w:r w:rsidR="004C17B4" w:rsidRPr="000B45EE">
        <w:rPr>
          <w:rFonts w:ascii="Arial" w:hAnsi="Arial" w:cs="Arial"/>
          <w:sz w:val="24"/>
          <w:szCs w:val="24"/>
        </w:rPr>
        <w:t xml:space="preserve"> </w:t>
      </w:r>
      <w:r w:rsidR="001E292E">
        <w:rPr>
          <w:rFonts w:ascii="Arial" w:hAnsi="Arial" w:cs="Arial"/>
          <w:caps/>
          <w:sz w:val="24"/>
          <w:szCs w:val="24"/>
        </w:rPr>
        <w:t>YEAR</w:t>
      </w:r>
      <w:r w:rsidR="004C17B4" w:rsidRPr="000B45EE">
        <w:rPr>
          <w:rFonts w:ascii="Arial" w:hAnsi="Arial" w:cs="Arial"/>
          <w:caps/>
          <w:sz w:val="24"/>
          <w:szCs w:val="24"/>
        </w:rPr>
        <w:t xml:space="preserve"> Ended</w:t>
      </w:r>
      <w:r w:rsidR="004C17B4" w:rsidRPr="000B45EE">
        <w:rPr>
          <w:rFonts w:ascii="Arial" w:hAnsi="Arial" w:cs="Arial"/>
          <w:sz w:val="24"/>
          <w:szCs w:val="24"/>
        </w:rPr>
        <w:t xml:space="preserve"> 30</w:t>
      </w:r>
      <w:r w:rsidR="004C17B4" w:rsidRPr="000B45EE">
        <w:rPr>
          <w:rFonts w:ascii="Arial" w:hAnsi="Arial" w:cs="Arial"/>
          <w:sz w:val="24"/>
          <w:szCs w:val="24"/>
          <w:vertAlign w:val="superscript"/>
        </w:rPr>
        <w:t>th</w:t>
      </w:r>
      <w:r w:rsidR="004C17B4" w:rsidRPr="000B45EE">
        <w:rPr>
          <w:rFonts w:ascii="Arial" w:hAnsi="Arial" w:cs="Arial"/>
          <w:sz w:val="24"/>
          <w:szCs w:val="24"/>
        </w:rPr>
        <w:t xml:space="preserve"> </w:t>
      </w:r>
      <w:r w:rsidR="004C17B4" w:rsidRPr="000B45EE">
        <w:rPr>
          <w:rFonts w:ascii="Arial" w:hAnsi="Arial" w:cs="Arial"/>
          <w:caps/>
          <w:sz w:val="24"/>
          <w:szCs w:val="24"/>
        </w:rPr>
        <w:t>June</w:t>
      </w:r>
      <w:r w:rsidR="004C17B4" w:rsidRPr="000B45EE">
        <w:rPr>
          <w:rFonts w:ascii="Arial" w:hAnsi="Arial" w:cs="Arial"/>
          <w:sz w:val="24"/>
          <w:szCs w:val="24"/>
        </w:rPr>
        <w:t xml:space="preserve">, </w:t>
      </w:r>
      <w:r w:rsidR="00730804" w:rsidRPr="000B45EE">
        <w:rPr>
          <w:rFonts w:ascii="Arial" w:hAnsi="Arial" w:cs="Arial"/>
          <w:sz w:val="24"/>
          <w:szCs w:val="24"/>
        </w:rPr>
        <w:t>20</w:t>
      </w:r>
      <w:r w:rsidR="00730804">
        <w:rPr>
          <w:rFonts w:ascii="Arial" w:hAnsi="Arial" w:cs="Arial"/>
          <w:sz w:val="24"/>
          <w:szCs w:val="24"/>
        </w:rPr>
        <w:t>2</w:t>
      </w:r>
      <w:r w:rsidR="00E61DE4">
        <w:rPr>
          <w:rFonts w:ascii="Arial" w:hAnsi="Arial" w:cs="Arial"/>
          <w:sz w:val="24"/>
          <w:szCs w:val="24"/>
        </w:rPr>
        <w:t>1</w:t>
      </w:r>
      <w:r w:rsidR="004C17B4" w:rsidRPr="000B45EE">
        <w:rPr>
          <w:rFonts w:ascii="Arial" w:hAnsi="Arial" w:cs="Arial"/>
          <w:sz w:val="24"/>
          <w:szCs w:val="24"/>
        </w:rPr>
        <w:br/>
        <w:t>(</w:t>
      </w:r>
      <w:r w:rsidR="004C17B4" w:rsidRPr="000B45EE">
        <w:rPr>
          <w:rFonts w:ascii="Arial" w:hAnsi="Arial" w:cs="Arial"/>
          <w:caps/>
          <w:sz w:val="24"/>
          <w:szCs w:val="24"/>
        </w:rPr>
        <w:t xml:space="preserve">Section </w:t>
      </w:r>
      <w:r w:rsidR="004C17B4" w:rsidRPr="000B45EE">
        <w:rPr>
          <w:rFonts w:ascii="Arial" w:hAnsi="Arial" w:cs="Arial"/>
          <w:sz w:val="24"/>
          <w:szCs w:val="24"/>
        </w:rPr>
        <w:t>418 L</w:t>
      </w:r>
      <w:r w:rsidR="004F09ED" w:rsidRPr="000B45EE">
        <w:rPr>
          <w:rFonts w:ascii="Arial" w:hAnsi="Arial" w:cs="Arial"/>
          <w:sz w:val="24"/>
          <w:szCs w:val="24"/>
        </w:rPr>
        <w:t>ocal Government Act</w:t>
      </w:r>
      <w:r w:rsidR="004C17B4" w:rsidRPr="000B45EE">
        <w:rPr>
          <w:rFonts w:ascii="Arial" w:hAnsi="Arial" w:cs="Arial"/>
          <w:sz w:val="24"/>
          <w:szCs w:val="24"/>
        </w:rPr>
        <w:t>, 1993)</w:t>
      </w:r>
      <w:bookmarkEnd w:id="0"/>
    </w:p>
    <w:p w:rsidR="004C17B4" w:rsidRPr="00667952" w:rsidRDefault="004C17B4" w:rsidP="004C17B4">
      <w:pPr>
        <w:tabs>
          <w:tab w:val="left" w:pos="-720"/>
        </w:tabs>
        <w:suppressAutoHyphens/>
        <w:spacing w:before="40" w:after="40"/>
        <w:jc w:val="both"/>
        <w:rPr>
          <w:rFonts w:ascii="Arial" w:hAnsi="Arial" w:cs="Arial"/>
          <w:sz w:val="22"/>
          <w:szCs w:val="22"/>
        </w:rPr>
      </w:pPr>
      <w:r w:rsidRPr="000B45EE">
        <w:rPr>
          <w:rFonts w:ascii="Arial" w:hAnsi="Arial" w:cs="Arial"/>
          <w:sz w:val="22"/>
          <w:szCs w:val="22"/>
        </w:rPr>
        <w:t xml:space="preserve">Notice is hereby given that the Audited Financial Reports and the Auditor's Reports of </w:t>
      </w:r>
      <w:r w:rsidR="000B45EE" w:rsidRPr="000B45EE">
        <w:rPr>
          <w:rFonts w:ascii="Arial" w:hAnsi="Arial" w:cs="Arial"/>
          <w:sz w:val="22"/>
          <w:szCs w:val="22"/>
        </w:rPr>
        <w:t>Namoi Joint Organisation</w:t>
      </w:r>
      <w:r w:rsidRPr="000B45EE">
        <w:rPr>
          <w:rFonts w:ascii="Arial" w:hAnsi="Arial" w:cs="Arial"/>
          <w:sz w:val="22"/>
          <w:szCs w:val="22"/>
        </w:rPr>
        <w:t xml:space="preserve"> </w:t>
      </w:r>
      <w:r w:rsidR="008326A0">
        <w:rPr>
          <w:rFonts w:ascii="Arial" w:hAnsi="Arial" w:cs="Arial"/>
          <w:sz w:val="22"/>
          <w:szCs w:val="22"/>
        </w:rPr>
        <w:t xml:space="preserve">of Councils </w:t>
      </w:r>
      <w:r w:rsidRPr="000B45EE">
        <w:rPr>
          <w:rFonts w:ascii="Arial" w:hAnsi="Arial" w:cs="Arial"/>
          <w:sz w:val="22"/>
          <w:szCs w:val="22"/>
        </w:rPr>
        <w:t xml:space="preserve">for the year ended 30th June, </w:t>
      </w:r>
      <w:r w:rsidR="00490C82">
        <w:rPr>
          <w:rFonts w:ascii="Arial" w:hAnsi="Arial" w:cs="Arial"/>
          <w:sz w:val="22"/>
          <w:szCs w:val="22"/>
        </w:rPr>
        <w:t>202</w:t>
      </w:r>
      <w:r w:rsidR="00E61DE4">
        <w:rPr>
          <w:rFonts w:ascii="Arial" w:hAnsi="Arial" w:cs="Arial"/>
          <w:sz w:val="22"/>
          <w:szCs w:val="22"/>
        </w:rPr>
        <w:t>1</w:t>
      </w:r>
      <w:r w:rsidR="00490C82" w:rsidRPr="000B45EE">
        <w:rPr>
          <w:rFonts w:ascii="Arial" w:hAnsi="Arial" w:cs="Arial"/>
          <w:sz w:val="22"/>
          <w:szCs w:val="22"/>
        </w:rPr>
        <w:t xml:space="preserve"> </w:t>
      </w:r>
      <w:r w:rsidRPr="000B45EE">
        <w:rPr>
          <w:rFonts w:ascii="Arial" w:hAnsi="Arial" w:cs="Arial"/>
          <w:sz w:val="22"/>
          <w:szCs w:val="22"/>
        </w:rPr>
        <w:t xml:space="preserve">will be presented to the public at Council's </w:t>
      </w:r>
      <w:r w:rsidRPr="00667952">
        <w:rPr>
          <w:rFonts w:ascii="Arial" w:hAnsi="Arial" w:cs="Arial"/>
          <w:sz w:val="22"/>
          <w:szCs w:val="22"/>
        </w:rPr>
        <w:t xml:space="preserve">Meeting on </w:t>
      </w:r>
      <w:r w:rsidR="003F41A7">
        <w:rPr>
          <w:rFonts w:ascii="Arial" w:hAnsi="Arial" w:cs="Arial"/>
          <w:sz w:val="22"/>
          <w:szCs w:val="22"/>
        </w:rPr>
        <w:t>November</w:t>
      </w:r>
      <w:r w:rsidR="007E61C1" w:rsidRPr="00667952">
        <w:rPr>
          <w:rFonts w:ascii="Arial" w:hAnsi="Arial" w:cs="Arial"/>
          <w:sz w:val="22"/>
          <w:szCs w:val="22"/>
        </w:rPr>
        <w:t xml:space="preserve"> </w:t>
      </w:r>
      <w:r w:rsidR="003F41A7">
        <w:rPr>
          <w:rFonts w:ascii="Arial" w:hAnsi="Arial" w:cs="Arial"/>
          <w:sz w:val="22"/>
          <w:szCs w:val="22"/>
        </w:rPr>
        <w:t>1</w:t>
      </w:r>
      <w:r w:rsidR="00A4041F" w:rsidRPr="00667952">
        <w:rPr>
          <w:rFonts w:ascii="Arial" w:hAnsi="Arial" w:cs="Arial"/>
          <w:sz w:val="22"/>
          <w:szCs w:val="22"/>
        </w:rPr>
        <w:t>, 20</w:t>
      </w:r>
      <w:r w:rsidR="00667952" w:rsidRPr="00667952">
        <w:rPr>
          <w:rFonts w:ascii="Arial" w:hAnsi="Arial" w:cs="Arial"/>
          <w:sz w:val="22"/>
          <w:szCs w:val="22"/>
        </w:rPr>
        <w:t>2</w:t>
      </w:r>
      <w:r w:rsidR="003F41A7">
        <w:rPr>
          <w:rFonts w:ascii="Arial" w:hAnsi="Arial" w:cs="Arial"/>
          <w:sz w:val="22"/>
          <w:szCs w:val="22"/>
        </w:rPr>
        <w:t>1</w:t>
      </w:r>
      <w:r w:rsidRPr="00667952">
        <w:rPr>
          <w:rFonts w:ascii="Arial" w:hAnsi="Arial" w:cs="Arial"/>
          <w:sz w:val="22"/>
          <w:szCs w:val="22"/>
        </w:rPr>
        <w:t xml:space="preserve"> in accordance with Section 419 of the Local Government Act, 1993.</w:t>
      </w:r>
    </w:p>
    <w:p w:rsidR="004C17B4" w:rsidRPr="000B45EE" w:rsidRDefault="004C17B4" w:rsidP="004C17B4">
      <w:pPr>
        <w:tabs>
          <w:tab w:val="left" w:pos="-720"/>
        </w:tabs>
        <w:suppressAutoHyphens/>
        <w:spacing w:before="40" w:after="40"/>
        <w:jc w:val="both"/>
        <w:rPr>
          <w:rFonts w:ascii="Arial" w:hAnsi="Arial" w:cs="Arial"/>
          <w:sz w:val="22"/>
          <w:szCs w:val="22"/>
        </w:rPr>
      </w:pPr>
      <w:r w:rsidRPr="00667952">
        <w:rPr>
          <w:rFonts w:ascii="Arial" w:hAnsi="Arial" w:cs="Arial"/>
          <w:sz w:val="22"/>
          <w:szCs w:val="22"/>
        </w:rPr>
        <w:t xml:space="preserve">Members of the public are invited to attend this meeting and any submissions regarding either the Financial Reports or the Auditors Reports should be lodged with </w:t>
      </w:r>
      <w:r w:rsidR="00361F17" w:rsidRPr="00667952">
        <w:rPr>
          <w:rFonts w:ascii="Arial" w:hAnsi="Arial" w:cs="Arial"/>
          <w:sz w:val="22"/>
          <w:szCs w:val="22"/>
        </w:rPr>
        <w:t xml:space="preserve">the Joint </w:t>
      </w:r>
      <w:r w:rsidR="00361F17" w:rsidRPr="00CF5E88">
        <w:rPr>
          <w:rFonts w:ascii="Arial" w:hAnsi="Arial" w:cs="Arial"/>
          <w:sz w:val="22"/>
          <w:szCs w:val="22"/>
        </w:rPr>
        <w:t>Organisation</w:t>
      </w:r>
      <w:r w:rsidRPr="00CF5E88">
        <w:rPr>
          <w:rFonts w:ascii="Arial" w:hAnsi="Arial" w:cs="Arial"/>
          <w:sz w:val="22"/>
          <w:szCs w:val="22"/>
        </w:rPr>
        <w:t xml:space="preserve"> by </w:t>
      </w:r>
      <w:r w:rsidR="00CF5E88" w:rsidRPr="00CF5E88">
        <w:rPr>
          <w:rFonts w:ascii="Arial" w:hAnsi="Arial" w:cs="Arial"/>
          <w:sz w:val="22"/>
          <w:szCs w:val="22"/>
        </w:rPr>
        <w:t>November</w:t>
      </w:r>
      <w:r w:rsidR="007E61C1" w:rsidRPr="00CF5E88">
        <w:rPr>
          <w:rFonts w:ascii="Arial" w:hAnsi="Arial" w:cs="Arial"/>
          <w:sz w:val="22"/>
          <w:szCs w:val="22"/>
        </w:rPr>
        <w:t xml:space="preserve"> </w:t>
      </w:r>
      <w:r w:rsidR="00CF5E88" w:rsidRPr="00CF5E88">
        <w:rPr>
          <w:rFonts w:ascii="Arial" w:hAnsi="Arial" w:cs="Arial"/>
          <w:sz w:val="22"/>
          <w:szCs w:val="22"/>
        </w:rPr>
        <w:t>8</w:t>
      </w:r>
      <w:r w:rsidR="00A4041F" w:rsidRPr="00CF5E88">
        <w:rPr>
          <w:rFonts w:ascii="Arial" w:hAnsi="Arial" w:cs="Arial"/>
          <w:sz w:val="22"/>
          <w:szCs w:val="22"/>
        </w:rPr>
        <w:t>,</w:t>
      </w:r>
      <w:r w:rsidR="00D30AEA" w:rsidRPr="00CF5E88">
        <w:rPr>
          <w:rFonts w:ascii="Arial" w:hAnsi="Arial" w:cs="Arial"/>
          <w:sz w:val="22"/>
          <w:szCs w:val="22"/>
        </w:rPr>
        <w:t xml:space="preserve"> </w:t>
      </w:r>
      <w:r w:rsidR="00A4041F" w:rsidRPr="00CF5E88">
        <w:rPr>
          <w:rFonts w:ascii="Arial" w:hAnsi="Arial" w:cs="Arial"/>
          <w:sz w:val="22"/>
          <w:szCs w:val="22"/>
        </w:rPr>
        <w:t>20</w:t>
      </w:r>
      <w:r w:rsidR="00667952" w:rsidRPr="00CF5E88">
        <w:rPr>
          <w:rFonts w:ascii="Arial" w:hAnsi="Arial" w:cs="Arial"/>
          <w:sz w:val="22"/>
          <w:szCs w:val="22"/>
        </w:rPr>
        <w:t>2</w:t>
      </w:r>
      <w:r w:rsidR="00CF5E88" w:rsidRPr="00CF5E88">
        <w:rPr>
          <w:rFonts w:ascii="Arial" w:hAnsi="Arial" w:cs="Arial"/>
          <w:sz w:val="22"/>
          <w:szCs w:val="22"/>
        </w:rPr>
        <w:t>1</w:t>
      </w:r>
      <w:r w:rsidRPr="00CF5E88">
        <w:rPr>
          <w:rFonts w:ascii="Arial" w:hAnsi="Arial" w:cs="Arial"/>
          <w:sz w:val="22"/>
          <w:szCs w:val="22"/>
        </w:rPr>
        <w:t>, in accordance with Section 420 of the Local Government Act, 1993.</w:t>
      </w:r>
    </w:p>
    <w:p w:rsidR="008E171F" w:rsidRPr="000B45EE" w:rsidRDefault="004C17B4" w:rsidP="008E171F">
      <w:pPr>
        <w:rPr>
          <w:rFonts w:ascii="Arial" w:hAnsi="Arial" w:cs="Arial"/>
          <w:color w:val="1F497D"/>
          <w:sz w:val="22"/>
          <w:szCs w:val="22"/>
        </w:rPr>
      </w:pPr>
      <w:r w:rsidRPr="000B45EE">
        <w:rPr>
          <w:rFonts w:ascii="Arial" w:hAnsi="Arial" w:cs="Arial"/>
          <w:sz w:val="22"/>
          <w:szCs w:val="22"/>
        </w:rPr>
        <w:t>A copy of the Financial Reports and the Auditor</w:t>
      </w:r>
      <w:r w:rsidR="007E61C1" w:rsidRPr="000B45EE">
        <w:rPr>
          <w:rFonts w:ascii="Arial" w:hAnsi="Arial" w:cs="Arial"/>
          <w:sz w:val="22"/>
          <w:szCs w:val="22"/>
        </w:rPr>
        <w:t>’</w:t>
      </w:r>
      <w:r w:rsidRPr="000B45EE">
        <w:rPr>
          <w:rFonts w:ascii="Arial" w:hAnsi="Arial" w:cs="Arial"/>
          <w:sz w:val="22"/>
          <w:szCs w:val="22"/>
        </w:rPr>
        <w:t xml:space="preserve">s Reports </w:t>
      </w:r>
      <w:r w:rsidR="007E61C1" w:rsidRPr="000B45EE">
        <w:rPr>
          <w:rFonts w:ascii="Arial" w:hAnsi="Arial" w:cs="Arial"/>
          <w:sz w:val="22"/>
          <w:szCs w:val="22"/>
        </w:rPr>
        <w:t>are</w:t>
      </w:r>
      <w:r w:rsidRPr="000B45EE">
        <w:rPr>
          <w:rFonts w:ascii="Arial" w:hAnsi="Arial" w:cs="Arial"/>
          <w:sz w:val="22"/>
          <w:szCs w:val="22"/>
        </w:rPr>
        <w:t xml:space="preserve"> available for inspection at the</w:t>
      </w:r>
      <w:r w:rsidR="00361F17">
        <w:rPr>
          <w:rFonts w:ascii="Arial" w:hAnsi="Arial" w:cs="Arial"/>
          <w:sz w:val="22"/>
          <w:szCs w:val="22"/>
        </w:rPr>
        <w:t xml:space="preserve"> </w:t>
      </w:r>
      <w:r w:rsidR="007E3D52">
        <w:rPr>
          <w:rFonts w:ascii="Arial" w:hAnsi="Arial" w:cs="Arial"/>
          <w:sz w:val="22"/>
          <w:szCs w:val="22"/>
        </w:rPr>
        <w:t xml:space="preserve">member </w:t>
      </w:r>
      <w:r w:rsidRPr="00361F17">
        <w:rPr>
          <w:rFonts w:ascii="Arial" w:hAnsi="Arial" w:cs="Arial"/>
          <w:sz w:val="22"/>
          <w:szCs w:val="22"/>
        </w:rPr>
        <w:t>Council</w:t>
      </w:r>
      <w:r w:rsidR="00736C2F" w:rsidRPr="00361F17">
        <w:rPr>
          <w:rFonts w:ascii="Arial" w:hAnsi="Arial" w:cs="Arial"/>
          <w:sz w:val="22"/>
          <w:szCs w:val="22"/>
        </w:rPr>
        <w:t>’</w:t>
      </w:r>
      <w:r w:rsidRPr="00361F17">
        <w:rPr>
          <w:rFonts w:ascii="Arial" w:hAnsi="Arial" w:cs="Arial"/>
          <w:sz w:val="22"/>
          <w:szCs w:val="22"/>
        </w:rPr>
        <w:t xml:space="preserve">s Offices in </w:t>
      </w:r>
      <w:proofErr w:type="spellStart"/>
      <w:r w:rsidR="001E292E">
        <w:rPr>
          <w:rFonts w:ascii="Arial" w:hAnsi="Arial" w:cs="Arial"/>
          <w:sz w:val="22"/>
          <w:szCs w:val="22"/>
        </w:rPr>
        <w:t>Bingara</w:t>
      </w:r>
      <w:proofErr w:type="spellEnd"/>
      <w:r w:rsidR="001E292E">
        <w:rPr>
          <w:rFonts w:ascii="Arial" w:hAnsi="Arial" w:cs="Arial"/>
          <w:sz w:val="22"/>
          <w:szCs w:val="22"/>
        </w:rPr>
        <w:t xml:space="preserve">, </w:t>
      </w:r>
      <w:r w:rsidR="001E292E">
        <w:rPr>
          <w:rFonts w:ascii="Arial" w:hAnsi="Arial" w:cs="Arial"/>
          <w:sz w:val="22"/>
          <w:szCs w:val="22"/>
        </w:rPr>
        <w:t>Gunnedah</w:t>
      </w:r>
      <w:r w:rsidR="001E292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E292E">
        <w:rPr>
          <w:rFonts w:ascii="Arial" w:hAnsi="Arial" w:cs="Arial"/>
          <w:sz w:val="22"/>
          <w:szCs w:val="22"/>
        </w:rPr>
        <w:t>Quirindi</w:t>
      </w:r>
      <w:proofErr w:type="spellEnd"/>
      <w:r w:rsidR="008326A0">
        <w:rPr>
          <w:rFonts w:ascii="Arial" w:hAnsi="Arial" w:cs="Arial"/>
          <w:sz w:val="22"/>
          <w:szCs w:val="22"/>
        </w:rPr>
        <w:t>, Tamworth</w:t>
      </w:r>
      <w:r w:rsidR="001E292E">
        <w:rPr>
          <w:rFonts w:ascii="Arial" w:hAnsi="Arial" w:cs="Arial"/>
          <w:sz w:val="22"/>
          <w:szCs w:val="22"/>
        </w:rPr>
        <w:t xml:space="preserve"> </w:t>
      </w:r>
      <w:r w:rsidR="008326A0">
        <w:rPr>
          <w:rFonts w:ascii="Arial" w:hAnsi="Arial" w:cs="Arial"/>
          <w:sz w:val="22"/>
          <w:szCs w:val="22"/>
        </w:rPr>
        <w:t>and</w:t>
      </w:r>
      <w:r w:rsidR="001E292E" w:rsidRPr="001E29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292E" w:rsidRPr="00361F17">
        <w:rPr>
          <w:rFonts w:ascii="Arial" w:hAnsi="Arial" w:cs="Arial"/>
          <w:sz w:val="22"/>
          <w:szCs w:val="22"/>
        </w:rPr>
        <w:t>Walcha</w:t>
      </w:r>
      <w:proofErr w:type="spellEnd"/>
      <w:r w:rsidR="008326A0">
        <w:rPr>
          <w:rFonts w:ascii="Arial" w:hAnsi="Arial" w:cs="Arial"/>
          <w:sz w:val="22"/>
          <w:szCs w:val="22"/>
        </w:rPr>
        <w:t>.</w:t>
      </w:r>
    </w:p>
    <w:p w:rsidR="004C17B4" w:rsidRPr="000B45EE" w:rsidRDefault="00FC0C73" w:rsidP="004C17B4">
      <w:pPr>
        <w:tabs>
          <w:tab w:val="left" w:pos="-720"/>
        </w:tabs>
        <w:suppressAutoHyphens/>
        <w:spacing w:before="40"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summary of the Financial Statements is provided below.</w:t>
      </w:r>
      <w:bookmarkStart w:id="3" w:name="_GoBack"/>
      <w:bookmarkEnd w:id="3"/>
    </w:p>
    <w:p w:rsidR="004C17B4" w:rsidRPr="000B45EE" w:rsidRDefault="004C17B4" w:rsidP="004C17B4">
      <w:pPr>
        <w:tabs>
          <w:tab w:val="left" w:pos="-720"/>
        </w:tabs>
        <w:suppressAutoHyphens/>
        <w:spacing w:before="40" w:after="40"/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2"/>
        <w:gridCol w:w="2105"/>
        <w:gridCol w:w="2066"/>
      </w:tblGrid>
      <w:tr w:rsidR="00403DEC" w:rsidRPr="000B45EE" w:rsidTr="008B18EE">
        <w:trPr>
          <w:jc w:val="center"/>
        </w:trPr>
        <w:tc>
          <w:tcPr>
            <w:tcW w:w="5572" w:type="dxa"/>
          </w:tcPr>
          <w:p w:rsidR="00403DEC" w:rsidRPr="000B45EE" w:rsidRDefault="00403DEC" w:rsidP="004219E3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5" w:type="dxa"/>
          </w:tcPr>
          <w:p w:rsidR="00403DEC" w:rsidRPr="000B45EE" w:rsidRDefault="00403DEC" w:rsidP="004219E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45EE">
              <w:rPr>
                <w:rFonts w:ascii="Arial" w:hAnsi="Arial" w:cs="Arial"/>
                <w:b/>
                <w:sz w:val="22"/>
                <w:szCs w:val="22"/>
              </w:rPr>
              <w:t xml:space="preserve">Current Year </w:t>
            </w: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3F41A7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 w:rsidR="003F41A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403DEC" w:rsidRPr="000B45EE" w:rsidRDefault="00403DEC" w:rsidP="000B45EE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45EE">
              <w:rPr>
                <w:rFonts w:ascii="Arial" w:hAnsi="Arial" w:cs="Arial"/>
                <w:b/>
                <w:sz w:val="22"/>
                <w:szCs w:val="22"/>
              </w:rPr>
              <w:t xml:space="preserve"> $</w:t>
            </w:r>
          </w:p>
        </w:tc>
        <w:tc>
          <w:tcPr>
            <w:tcW w:w="2066" w:type="dxa"/>
          </w:tcPr>
          <w:p w:rsidR="00403DEC" w:rsidRPr="000B45EE" w:rsidRDefault="00403DEC" w:rsidP="00403DEC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Previous</w:t>
            </w:r>
            <w:r w:rsidRPr="000B45EE">
              <w:rPr>
                <w:rFonts w:ascii="Arial" w:hAnsi="Arial" w:cs="Arial"/>
                <w:b/>
                <w:sz w:val="22"/>
                <w:szCs w:val="22"/>
              </w:rPr>
              <w:t xml:space="preserve"> Year </w:t>
            </w:r>
            <w:r w:rsidR="003F41A7">
              <w:rPr>
                <w:rFonts w:ascii="Arial" w:hAnsi="Arial" w:cs="Arial"/>
                <w:b/>
                <w:sz w:val="22"/>
                <w:szCs w:val="22"/>
              </w:rPr>
              <w:t>2019/2020</w:t>
            </w:r>
          </w:p>
          <w:p w:rsidR="00403DEC" w:rsidRPr="000B45EE" w:rsidRDefault="00403DEC" w:rsidP="00403DEC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45EE">
              <w:rPr>
                <w:rFonts w:ascii="Arial" w:hAnsi="Arial" w:cs="Arial"/>
                <w:b/>
                <w:sz w:val="22"/>
                <w:szCs w:val="22"/>
              </w:rPr>
              <w:t xml:space="preserve"> $</w:t>
            </w:r>
          </w:p>
        </w:tc>
      </w:tr>
      <w:tr w:rsidR="00403DEC" w:rsidRPr="000B45EE" w:rsidTr="008B18EE">
        <w:trPr>
          <w:jc w:val="center"/>
        </w:trPr>
        <w:tc>
          <w:tcPr>
            <w:tcW w:w="5572" w:type="dxa"/>
          </w:tcPr>
          <w:p w:rsidR="00403DEC" w:rsidRPr="000B45EE" w:rsidRDefault="00403DEC" w:rsidP="004219E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0B45EE">
              <w:rPr>
                <w:rFonts w:ascii="Arial" w:hAnsi="Arial" w:cs="Arial"/>
                <w:b/>
                <w:sz w:val="22"/>
                <w:szCs w:val="22"/>
              </w:rPr>
              <w:t>Income Statement</w:t>
            </w:r>
          </w:p>
        </w:tc>
        <w:tc>
          <w:tcPr>
            <w:tcW w:w="2105" w:type="dxa"/>
          </w:tcPr>
          <w:p w:rsidR="00403DEC" w:rsidRPr="000B45EE" w:rsidRDefault="00403DEC" w:rsidP="004219E3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6" w:type="dxa"/>
          </w:tcPr>
          <w:p w:rsidR="00403DEC" w:rsidRPr="000B45EE" w:rsidRDefault="00403DEC" w:rsidP="004219E3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1A7" w:rsidRPr="000B45EE" w:rsidTr="008B18EE">
        <w:trPr>
          <w:jc w:val="center"/>
        </w:trPr>
        <w:tc>
          <w:tcPr>
            <w:tcW w:w="5572" w:type="dxa"/>
          </w:tcPr>
          <w:p w:rsidR="003F41A7" w:rsidRPr="000B45EE" w:rsidRDefault="003F41A7" w:rsidP="003F41A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B45EE">
              <w:rPr>
                <w:rFonts w:ascii="Arial" w:hAnsi="Arial" w:cs="Arial"/>
                <w:sz w:val="22"/>
                <w:szCs w:val="22"/>
              </w:rPr>
              <w:t>Total income from continuing operations</w:t>
            </w:r>
          </w:p>
        </w:tc>
        <w:tc>
          <w:tcPr>
            <w:tcW w:w="2105" w:type="dxa"/>
          </w:tcPr>
          <w:p w:rsidR="003F41A7" w:rsidRPr="00D04C1D" w:rsidRDefault="003F41A7" w:rsidP="003F41A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708,272</w:t>
            </w:r>
          </w:p>
        </w:tc>
        <w:tc>
          <w:tcPr>
            <w:tcW w:w="2066" w:type="dxa"/>
          </w:tcPr>
          <w:p w:rsidR="003F41A7" w:rsidRPr="00D04C1D" w:rsidRDefault="003F41A7" w:rsidP="003F41A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475,034</w:t>
            </w:r>
          </w:p>
        </w:tc>
      </w:tr>
      <w:tr w:rsidR="003F41A7" w:rsidRPr="000B45EE" w:rsidTr="008B18EE">
        <w:trPr>
          <w:jc w:val="center"/>
        </w:trPr>
        <w:tc>
          <w:tcPr>
            <w:tcW w:w="5572" w:type="dxa"/>
          </w:tcPr>
          <w:p w:rsidR="003F41A7" w:rsidRPr="000B45EE" w:rsidRDefault="003F41A7" w:rsidP="003F41A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B45EE">
              <w:rPr>
                <w:rFonts w:ascii="Arial" w:hAnsi="Arial" w:cs="Arial"/>
                <w:sz w:val="22"/>
                <w:szCs w:val="22"/>
              </w:rPr>
              <w:t>Total expenses from continuing operations</w:t>
            </w:r>
          </w:p>
        </w:tc>
        <w:tc>
          <w:tcPr>
            <w:tcW w:w="2105" w:type="dxa"/>
          </w:tcPr>
          <w:p w:rsidR="003F41A7" w:rsidRPr="00D04C1D" w:rsidRDefault="003F41A7" w:rsidP="003F41A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588,956</w:t>
            </w:r>
          </w:p>
        </w:tc>
        <w:tc>
          <w:tcPr>
            <w:tcW w:w="2066" w:type="dxa"/>
          </w:tcPr>
          <w:p w:rsidR="003F41A7" w:rsidRPr="00D04C1D" w:rsidRDefault="003F41A7" w:rsidP="003F41A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480,315</w:t>
            </w:r>
          </w:p>
        </w:tc>
      </w:tr>
      <w:tr w:rsidR="008B18EE" w:rsidRPr="000B45EE" w:rsidTr="008B18EE">
        <w:trPr>
          <w:jc w:val="center"/>
        </w:trPr>
        <w:tc>
          <w:tcPr>
            <w:tcW w:w="5572" w:type="dxa"/>
          </w:tcPr>
          <w:p w:rsidR="008B18EE" w:rsidRPr="008B18EE" w:rsidRDefault="008B18EE" w:rsidP="008B18E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18EE">
              <w:rPr>
                <w:rFonts w:ascii="Arial" w:hAnsi="Arial" w:cs="Arial"/>
                <w:sz w:val="22"/>
                <w:szCs w:val="22"/>
              </w:rPr>
              <w:t>Operating result from continuing operations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05" w:type="dxa"/>
          </w:tcPr>
          <w:p w:rsidR="008B18EE" w:rsidRPr="00D04C1D" w:rsidRDefault="008B18EE" w:rsidP="008B18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119,316</w:t>
            </w:r>
          </w:p>
        </w:tc>
        <w:tc>
          <w:tcPr>
            <w:tcW w:w="2066" w:type="dxa"/>
          </w:tcPr>
          <w:p w:rsidR="008B18EE" w:rsidRPr="00D04C1D" w:rsidRDefault="008B18EE" w:rsidP="008B18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(5,281)</w:t>
            </w:r>
          </w:p>
        </w:tc>
      </w:tr>
      <w:tr w:rsidR="008B18EE" w:rsidRPr="000B45EE" w:rsidTr="008B18EE">
        <w:trPr>
          <w:jc w:val="center"/>
        </w:trPr>
        <w:tc>
          <w:tcPr>
            <w:tcW w:w="5572" w:type="dxa"/>
          </w:tcPr>
          <w:p w:rsidR="008B18EE" w:rsidRPr="000B45EE" w:rsidRDefault="008B18EE" w:rsidP="008B18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B45EE">
              <w:rPr>
                <w:rFonts w:ascii="Arial" w:hAnsi="Arial" w:cs="Arial"/>
                <w:sz w:val="22"/>
                <w:szCs w:val="22"/>
              </w:rPr>
              <w:t>Net operating result for the year</w:t>
            </w:r>
          </w:p>
        </w:tc>
        <w:tc>
          <w:tcPr>
            <w:tcW w:w="2105" w:type="dxa"/>
          </w:tcPr>
          <w:p w:rsidR="008B18EE" w:rsidRPr="00D04C1D" w:rsidRDefault="008B18EE" w:rsidP="008B18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119,316</w:t>
            </w:r>
          </w:p>
        </w:tc>
        <w:tc>
          <w:tcPr>
            <w:tcW w:w="2066" w:type="dxa"/>
          </w:tcPr>
          <w:p w:rsidR="008B18EE" w:rsidRPr="00D04C1D" w:rsidRDefault="008B18EE" w:rsidP="008B18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(5,281)</w:t>
            </w:r>
          </w:p>
        </w:tc>
      </w:tr>
      <w:tr w:rsidR="008B18EE" w:rsidRPr="000B45EE" w:rsidTr="008B18EE">
        <w:trPr>
          <w:jc w:val="center"/>
        </w:trPr>
        <w:tc>
          <w:tcPr>
            <w:tcW w:w="5572" w:type="dxa"/>
          </w:tcPr>
          <w:p w:rsidR="008B18EE" w:rsidRPr="000B45EE" w:rsidRDefault="008B18EE" w:rsidP="008B18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B45EE">
              <w:rPr>
                <w:rFonts w:ascii="Arial" w:hAnsi="Arial" w:cs="Arial"/>
                <w:sz w:val="22"/>
                <w:szCs w:val="22"/>
              </w:rPr>
              <w:t>Net operating result before grants and contributions provided for capital purposes</w:t>
            </w:r>
          </w:p>
        </w:tc>
        <w:tc>
          <w:tcPr>
            <w:tcW w:w="2105" w:type="dxa"/>
          </w:tcPr>
          <w:p w:rsidR="008B18EE" w:rsidRPr="00D04C1D" w:rsidRDefault="008B18EE" w:rsidP="008B18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119,316</w:t>
            </w:r>
          </w:p>
        </w:tc>
        <w:tc>
          <w:tcPr>
            <w:tcW w:w="2066" w:type="dxa"/>
          </w:tcPr>
          <w:p w:rsidR="008B18EE" w:rsidRPr="00D04C1D" w:rsidRDefault="008B18EE" w:rsidP="008B18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(5,281)</w:t>
            </w:r>
          </w:p>
        </w:tc>
      </w:tr>
      <w:tr w:rsidR="008B18EE" w:rsidRPr="000B45EE" w:rsidTr="008B18EE">
        <w:trPr>
          <w:jc w:val="center"/>
        </w:trPr>
        <w:tc>
          <w:tcPr>
            <w:tcW w:w="5572" w:type="dxa"/>
          </w:tcPr>
          <w:p w:rsidR="008B18EE" w:rsidRPr="00DF12AA" w:rsidRDefault="008B18EE" w:rsidP="008B18EE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5" w:type="dxa"/>
          </w:tcPr>
          <w:p w:rsidR="008B18EE" w:rsidRPr="00D04C1D" w:rsidRDefault="008B18EE" w:rsidP="008B18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6" w:type="dxa"/>
          </w:tcPr>
          <w:p w:rsidR="008B18EE" w:rsidRPr="00D04C1D" w:rsidRDefault="008B18EE" w:rsidP="008B18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8EE" w:rsidRPr="000B45EE" w:rsidTr="008B18EE">
        <w:trPr>
          <w:jc w:val="center"/>
        </w:trPr>
        <w:tc>
          <w:tcPr>
            <w:tcW w:w="5572" w:type="dxa"/>
          </w:tcPr>
          <w:p w:rsidR="008B18EE" w:rsidRPr="00DF12AA" w:rsidRDefault="008B18EE" w:rsidP="008B18E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F12AA">
              <w:rPr>
                <w:rFonts w:ascii="Arial" w:hAnsi="Arial" w:cs="Arial"/>
                <w:b/>
                <w:sz w:val="22"/>
                <w:szCs w:val="22"/>
              </w:rPr>
              <w:t>Statement of Financial Position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05" w:type="dxa"/>
          </w:tcPr>
          <w:p w:rsidR="008B18EE" w:rsidRPr="00D04C1D" w:rsidRDefault="008B18EE" w:rsidP="008B18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6" w:type="dxa"/>
          </w:tcPr>
          <w:p w:rsidR="008B18EE" w:rsidRPr="00D04C1D" w:rsidRDefault="008B18EE" w:rsidP="008B18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8EE" w:rsidRPr="000B45EE" w:rsidTr="008B18EE">
        <w:trPr>
          <w:jc w:val="center"/>
        </w:trPr>
        <w:tc>
          <w:tcPr>
            <w:tcW w:w="5572" w:type="dxa"/>
          </w:tcPr>
          <w:p w:rsidR="008B18EE" w:rsidRPr="000B45EE" w:rsidRDefault="008B18EE" w:rsidP="008B18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B45EE">
              <w:rPr>
                <w:rFonts w:ascii="Arial" w:hAnsi="Arial" w:cs="Arial"/>
                <w:sz w:val="22"/>
                <w:szCs w:val="22"/>
              </w:rPr>
              <w:t>Total current assets</w:t>
            </w:r>
          </w:p>
        </w:tc>
        <w:tc>
          <w:tcPr>
            <w:tcW w:w="2105" w:type="dxa"/>
          </w:tcPr>
          <w:p w:rsidR="008B18EE" w:rsidRPr="00D04C1D" w:rsidRDefault="008B18EE" w:rsidP="008B18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858,941</w:t>
            </w:r>
          </w:p>
        </w:tc>
        <w:tc>
          <w:tcPr>
            <w:tcW w:w="2066" w:type="dxa"/>
          </w:tcPr>
          <w:p w:rsidR="008B18EE" w:rsidRPr="00D04C1D" w:rsidRDefault="008B18EE" w:rsidP="008B18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643,432</w:t>
            </w:r>
          </w:p>
        </w:tc>
      </w:tr>
      <w:tr w:rsidR="008B18EE" w:rsidRPr="000B45EE" w:rsidTr="008B18EE">
        <w:trPr>
          <w:jc w:val="center"/>
        </w:trPr>
        <w:tc>
          <w:tcPr>
            <w:tcW w:w="5572" w:type="dxa"/>
          </w:tcPr>
          <w:p w:rsidR="008B18EE" w:rsidRPr="000B45EE" w:rsidRDefault="008B18EE" w:rsidP="008B18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B45EE">
              <w:rPr>
                <w:rFonts w:ascii="Arial" w:hAnsi="Arial" w:cs="Arial"/>
                <w:sz w:val="22"/>
                <w:szCs w:val="22"/>
              </w:rPr>
              <w:t>Total current liabilities</w:t>
            </w:r>
          </w:p>
        </w:tc>
        <w:tc>
          <w:tcPr>
            <w:tcW w:w="2105" w:type="dxa"/>
          </w:tcPr>
          <w:p w:rsidR="008B18EE" w:rsidRPr="00D04C1D" w:rsidRDefault="008B18EE" w:rsidP="008B18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(546,201)</w:t>
            </w:r>
          </w:p>
        </w:tc>
        <w:tc>
          <w:tcPr>
            <w:tcW w:w="2066" w:type="dxa"/>
          </w:tcPr>
          <w:p w:rsidR="008B18EE" w:rsidRPr="00D04C1D" w:rsidRDefault="008B18EE" w:rsidP="008B18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441,005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B18EE" w:rsidRPr="000B45EE" w:rsidTr="008B18EE">
        <w:trPr>
          <w:jc w:val="center"/>
        </w:trPr>
        <w:tc>
          <w:tcPr>
            <w:tcW w:w="5572" w:type="dxa"/>
          </w:tcPr>
          <w:p w:rsidR="008B18EE" w:rsidRPr="000B45EE" w:rsidRDefault="008B18EE" w:rsidP="008B18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B45EE">
              <w:rPr>
                <w:rFonts w:ascii="Arial" w:hAnsi="Arial" w:cs="Arial"/>
                <w:sz w:val="22"/>
                <w:szCs w:val="22"/>
              </w:rPr>
              <w:t>Total non-current assets</w:t>
            </w:r>
          </w:p>
        </w:tc>
        <w:tc>
          <w:tcPr>
            <w:tcW w:w="2105" w:type="dxa"/>
          </w:tcPr>
          <w:p w:rsidR="008B18EE" w:rsidRPr="00D04C1D" w:rsidRDefault="008B18EE" w:rsidP="008B18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35,787</w:t>
            </w:r>
          </w:p>
        </w:tc>
        <w:tc>
          <w:tcPr>
            <w:tcW w:w="2066" w:type="dxa"/>
          </w:tcPr>
          <w:p w:rsidR="008B18EE" w:rsidRPr="00D04C1D" w:rsidRDefault="008B18EE" w:rsidP="008B18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53,680</w:t>
            </w:r>
          </w:p>
        </w:tc>
      </w:tr>
      <w:tr w:rsidR="008B18EE" w:rsidRPr="000B45EE" w:rsidTr="008B18EE">
        <w:trPr>
          <w:jc w:val="center"/>
        </w:trPr>
        <w:tc>
          <w:tcPr>
            <w:tcW w:w="5572" w:type="dxa"/>
          </w:tcPr>
          <w:p w:rsidR="008B18EE" w:rsidRPr="000B45EE" w:rsidRDefault="008B18EE" w:rsidP="008B18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B45EE">
              <w:rPr>
                <w:rFonts w:ascii="Arial" w:hAnsi="Arial" w:cs="Arial"/>
                <w:sz w:val="22"/>
                <w:szCs w:val="22"/>
              </w:rPr>
              <w:t>Total non-current liabilities</w:t>
            </w:r>
          </w:p>
        </w:tc>
        <w:tc>
          <w:tcPr>
            <w:tcW w:w="2105" w:type="dxa"/>
          </w:tcPr>
          <w:p w:rsidR="008B18EE" w:rsidRPr="00D04C1D" w:rsidRDefault="008B18EE" w:rsidP="008B18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(17,517)</w:t>
            </w:r>
          </w:p>
        </w:tc>
        <w:tc>
          <w:tcPr>
            <w:tcW w:w="2066" w:type="dxa"/>
          </w:tcPr>
          <w:p w:rsidR="008B18EE" w:rsidRPr="00D04C1D" w:rsidRDefault="008B18EE" w:rsidP="008B18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44,413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B18EE" w:rsidRPr="000B45EE" w:rsidTr="008B18EE">
        <w:trPr>
          <w:jc w:val="center"/>
        </w:trPr>
        <w:tc>
          <w:tcPr>
            <w:tcW w:w="5572" w:type="dxa"/>
          </w:tcPr>
          <w:p w:rsidR="008B18EE" w:rsidRPr="000B45EE" w:rsidRDefault="008B18EE" w:rsidP="008B18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B45EE">
              <w:rPr>
                <w:rFonts w:ascii="Arial" w:hAnsi="Arial" w:cs="Arial"/>
                <w:sz w:val="22"/>
                <w:szCs w:val="22"/>
              </w:rPr>
              <w:t>Total equity</w:t>
            </w:r>
          </w:p>
        </w:tc>
        <w:tc>
          <w:tcPr>
            <w:tcW w:w="2105" w:type="dxa"/>
          </w:tcPr>
          <w:p w:rsidR="008B18EE" w:rsidRPr="00D04C1D" w:rsidRDefault="008B18EE" w:rsidP="008B18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331,010</w:t>
            </w:r>
          </w:p>
        </w:tc>
        <w:tc>
          <w:tcPr>
            <w:tcW w:w="2066" w:type="dxa"/>
          </w:tcPr>
          <w:p w:rsidR="008B18EE" w:rsidRPr="00D04C1D" w:rsidRDefault="008B18EE" w:rsidP="008B18E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211,694</w:t>
            </w:r>
          </w:p>
        </w:tc>
      </w:tr>
    </w:tbl>
    <w:p w:rsidR="004C17B4" w:rsidRPr="000B45EE" w:rsidRDefault="004C17B4" w:rsidP="004C17B4">
      <w:pPr>
        <w:tabs>
          <w:tab w:val="left" w:pos="-720"/>
        </w:tabs>
        <w:spacing w:before="40" w:after="40"/>
        <w:jc w:val="both"/>
        <w:rPr>
          <w:rFonts w:ascii="Arial" w:hAnsi="Arial" w:cs="Arial"/>
        </w:rPr>
      </w:pPr>
    </w:p>
    <w:p w:rsidR="004C17B4" w:rsidRPr="000B45EE" w:rsidRDefault="004C17B4" w:rsidP="004C17B4">
      <w:pPr>
        <w:tabs>
          <w:tab w:val="left" w:pos="-720"/>
        </w:tabs>
        <w:spacing w:before="120" w:after="120"/>
        <w:jc w:val="both"/>
        <w:rPr>
          <w:rFonts w:ascii="Arial" w:hAnsi="Arial" w:cs="Arial"/>
        </w:rPr>
      </w:pPr>
    </w:p>
    <w:p w:rsidR="004C17B4" w:rsidRPr="000B45EE" w:rsidRDefault="004C17B4" w:rsidP="004C17B4">
      <w:pPr>
        <w:tabs>
          <w:tab w:val="left" w:pos="6804"/>
          <w:tab w:val="right" w:pos="1046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B45EE">
        <w:rPr>
          <w:rFonts w:ascii="Arial" w:hAnsi="Arial" w:cs="Arial"/>
          <w:sz w:val="22"/>
          <w:szCs w:val="22"/>
        </w:rPr>
        <w:t xml:space="preserve">PO. </w:t>
      </w:r>
      <w:smartTag w:uri="urn:schemas-microsoft-com:office:smarttags" w:element="address">
        <w:smartTag w:uri="urn:schemas-microsoft-com:office:smarttags" w:element="Street">
          <w:r w:rsidRPr="000B45EE">
            <w:rPr>
              <w:rFonts w:ascii="Arial" w:hAnsi="Arial" w:cs="Arial"/>
              <w:sz w:val="22"/>
              <w:szCs w:val="22"/>
            </w:rPr>
            <w:t>Box</w:t>
          </w:r>
        </w:smartTag>
        <w:r w:rsidRPr="000B45EE">
          <w:rPr>
            <w:rFonts w:ascii="Arial" w:hAnsi="Arial" w:cs="Arial"/>
            <w:sz w:val="22"/>
            <w:szCs w:val="22"/>
          </w:rPr>
          <w:t xml:space="preserve"> 555</w:t>
        </w:r>
      </w:smartTag>
      <w:r w:rsidRPr="000B45EE">
        <w:rPr>
          <w:rFonts w:ascii="Arial" w:hAnsi="Arial" w:cs="Arial"/>
          <w:sz w:val="22"/>
          <w:szCs w:val="22"/>
        </w:rPr>
        <w:tab/>
      </w:r>
      <w:r w:rsidR="000B45EE" w:rsidRPr="000B45EE">
        <w:rPr>
          <w:rFonts w:ascii="Arial" w:hAnsi="Arial" w:cs="Arial"/>
          <w:sz w:val="22"/>
          <w:szCs w:val="22"/>
        </w:rPr>
        <w:t>Rebel Thomson</w:t>
      </w:r>
    </w:p>
    <w:p w:rsidR="004C17B4" w:rsidRPr="000B45EE" w:rsidRDefault="004C17B4" w:rsidP="004C17B4">
      <w:pPr>
        <w:tabs>
          <w:tab w:val="left" w:pos="6804"/>
          <w:tab w:val="right" w:pos="10466"/>
        </w:tabs>
        <w:suppressAutoHyphens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lace">
        <w:r w:rsidRPr="000B45EE">
          <w:rPr>
            <w:rFonts w:ascii="Arial" w:hAnsi="Arial" w:cs="Arial"/>
            <w:sz w:val="22"/>
            <w:szCs w:val="22"/>
          </w:rPr>
          <w:t>TAMWORTH</w:t>
        </w:r>
      </w:smartTag>
      <w:r w:rsidRPr="000B45EE">
        <w:rPr>
          <w:rFonts w:ascii="Arial" w:hAnsi="Arial" w:cs="Arial"/>
          <w:sz w:val="22"/>
          <w:szCs w:val="22"/>
        </w:rPr>
        <w:t xml:space="preserve"> NSW   2340</w:t>
      </w:r>
      <w:r w:rsidRPr="000B45EE">
        <w:rPr>
          <w:rFonts w:ascii="Arial" w:hAnsi="Arial" w:cs="Arial"/>
          <w:sz w:val="22"/>
          <w:szCs w:val="22"/>
        </w:rPr>
        <w:tab/>
      </w:r>
      <w:r w:rsidR="000B45EE" w:rsidRPr="000B45EE">
        <w:rPr>
          <w:rFonts w:ascii="Arial" w:hAnsi="Arial" w:cs="Arial"/>
          <w:sz w:val="22"/>
          <w:szCs w:val="22"/>
        </w:rPr>
        <w:t>EXECUTIVE OFFICER</w:t>
      </w:r>
    </w:p>
    <w:bookmarkEnd w:id="1"/>
    <w:bookmarkEnd w:id="2"/>
    <w:p w:rsidR="004C17B4" w:rsidRPr="000B45EE" w:rsidRDefault="004C17B4" w:rsidP="004C17B4">
      <w:pPr>
        <w:tabs>
          <w:tab w:val="left" w:pos="-720"/>
          <w:tab w:val="left" w:pos="793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4C17B4" w:rsidRPr="000B45EE" w:rsidRDefault="004C17B4" w:rsidP="004C17B4">
      <w:pPr>
        <w:tabs>
          <w:tab w:val="left" w:pos="-720"/>
          <w:tab w:val="left" w:pos="360"/>
          <w:tab w:val="left" w:pos="1530"/>
          <w:tab w:val="left" w:pos="3060"/>
        </w:tabs>
        <w:suppressAutoHyphens/>
        <w:spacing w:before="120" w:after="120"/>
        <w:ind w:right="74"/>
        <w:jc w:val="both"/>
        <w:rPr>
          <w:rFonts w:ascii="Arial" w:hAnsi="Arial" w:cs="Arial"/>
          <w:sz w:val="22"/>
          <w:szCs w:val="22"/>
        </w:rPr>
      </w:pPr>
    </w:p>
    <w:p w:rsidR="004C17B4" w:rsidRPr="000B45EE" w:rsidRDefault="004C17B4" w:rsidP="004C17B4">
      <w:pPr>
        <w:tabs>
          <w:tab w:val="left" w:pos="-720"/>
          <w:tab w:val="left" w:pos="360"/>
          <w:tab w:val="left" w:pos="1530"/>
          <w:tab w:val="left" w:pos="3060"/>
        </w:tabs>
        <w:suppressAutoHyphens/>
        <w:spacing w:before="120" w:after="120"/>
        <w:ind w:right="74"/>
        <w:jc w:val="both"/>
        <w:rPr>
          <w:rFonts w:ascii="Arial" w:hAnsi="Arial" w:cs="Arial"/>
          <w:sz w:val="22"/>
          <w:szCs w:val="22"/>
        </w:rPr>
      </w:pPr>
    </w:p>
    <w:p w:rsidR="00AC1A38" w:rsidRPr="000B45EE" w:rsidRDefault="00AC1A38" w:rsidP="004C17B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sectPr w:rsidR="00AC1A38" w:rsidRPr="000B45EE">
      <w:headerReference w:type="default" r:id="rId7"/>
      <w:footerReference w:type="default" r:id="rId8"/>
      <w:footerReference w:type="first" r:id="rId9"/>
      <w:type w:val="continuous"/>
      <w:pgSz w:w="11907" w:h="16840" w:code="9"/>
      <w:pgMar w:top="1077" w:right="1077" w:bottom="1077" w:left="1077" w:header="720" w:footer="35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A0F" w:rsidRDefault="00607A0F">
      <w:r>
        <w:separator/>
      </w:r>
    </w:p>
  </w:endnote>
  <w:endnote w:type="continuationSeparator" w:id="0">
    <w:p w:rsidR="00607A0F" w:rsidRDefault="0060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7E3" w:rsidRDefault="008317E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7E3" w:rsidRDefault="008317E3">
    <w:pPr>
      <w:pStyle w:val="Footer"/>
      <w:jc w:val="right"/>
      <w:rPr>
        <w:sz w:val="16"/>
      </w:rPr>
    </w:pPr>
  </w:p>
  <w:p w:rsidR="008317E3" w:rsidRDefault="008317E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A0F" w:rsidRDefault="00607A0F">
      <w:r>
        <w:separator/>
      </w:r>
    </w:p>
  </w:footnote>
  <w:footnote w:type="continuationSeparator" w:id="0">
    <w:p w:rsidR="00607A0F" w:rsidRDefault="00607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7E3" w:rsidRDefault="008317E3">
    <w:pPr>
      <w:pStyle w:val="Header"/>
      <w:jc w:val="cent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45E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317E3" w:rsidRDefault="008317E3">
    <w:pPr>
      <w:pStyle w:val="Header"/>
      <w:jc w:val="center"/>
      <w:rPr>
        <w:rStyle w:val="PageNumber"/>
      </w:rPr>
    </w:pPr>
  </w:p>
  <w:p w:rsidR="008317E3" w:rsidRDefault="008317E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34"/>
    <w:rsid w:val="00001147"/>
    <w:rsid w:val="00034F55"/>
    <w:rsid w:val="00055EFF"/>
    <w:rsid w:val="0005659C"/>
    <w:rsid w:val="0006103C"/>
    <w:rsid w:val="000B45EE"/>
    <w:rsid w:val="000B7B43"/>
    <w:rsid w:val="000E43EC"/>
    <w:rsid w:val="000F6B4A"/>
    <w:rsid w:val="000F7B52"/>
    <w:rsid w:val="00140E05"/>
    <w:rsid w:val="0018678A"/>
    <w:rsid w:val="001A120E"/>
    <w:rsid w:val="001E1B9D"/>
    <w:rsid w:val="001E292E"/>
    <w:rsid w:val="0020546F"/>
    <w:rsid w:val="00207EB9"/>
    <w:rsid w:val="0022097F"/>
    <w:rsid w:val="0022194D"/>
    <w:rsid w:val="00241D0E"/>
    <w:rsid w:val="002A680F"/>
    <w:rsid w:val="002B04E8"/>
    <w:rsid w:val="002D7B20"/>
    <w:rsid w:val="003125AC"/>
    <w:rsid w:val="003176F8"/>
    <w:rsid w:val="00324E50"/>
    <w:rsid w:val="00333155"/>
    <w:rsid w:val="003465B2"/>
    <w:rsid w:val="003571EE"/>
    <w:rsid w:val="00361F17"/>
    <w:rsid w:val="00370D81"/>
    <w:rsid w:val="003740FB"/>
    <w:rsid w:val="00396F7E"/>
    <w:rsid w:val="003A21A4"/>
    <w:rsid w:val="003B5E27"/>
    <w:rsid w:val="003F41A7"/>
    <w:rsid w:val="00403DEC"/>
    <w:rsid w:val="0041279B"/>
    <w:rsid w:val="004219E3"/>
    <w:rsid w:val="00424D61"/>
    <w:rsid w:val="00453242"/>
    <w:rsid w:val="004710F2"/>
    <w:rsid w:val="004752CF"/>
    <w:rsid w:val="00482C11"/>
    <w:rsid w:val="00490C82"/>
    <w:rsid w:val="004A0E04"/>
    <w:rsid w:val="004A5A40"/>
    <w:rsid w:val="004C17B4"/>
    <w:rsid w:val="004D4473"/>
    <w:rsid w:val="004E52AA"/>
    <w:rsid w:val="004F09ED"/>
    <w:rsid w:val="004F3B43"/>
    <w:rsid w:val="00537B63"/>
    <w:rsid w:val="005621E1"/>
    <w:rsid w:val="0056373C"/>
    <w:rsid w:val="00592955"/>
    <w:rsid w:val="005C194C"/>
    <w:rsid w:val="005C5045"/>
    <w:rsid w:val="005C532A"/>
    <w:rsid w:val="005C62DF"/>
    <w:rsid w:val="00607A0F"/>
    <w:rsid w:val="00613AED"/>
    <w:rsid w:val="0062238A"/>
    <w:rsid w:val="00632FED"/>
    <w:rsid w:val="00635642"/>
    <w:rsid w:val="00644487"/>
    <w:rsid w:val="00654248"/>
    <w:rsid w:val="00667952"/>
    <w:rsid w:val="00675E95"/>
    <w:rsid w:val="00690D44"/>
    <w:rsid w:val="006A03A3"/>
    <w:rsid w:val="006C37DF"/>
    <w:rsid w:val="006C54E1"/>
    <w:rsid w:val="006C6D61"/>
    <w:rsid w:val="00701C40"/>
    <w:rsid w:val="00713854"/>
    <w:rsid w:val="00725922"/>
    <w:rsid w:val="00730804"/>
    <w:rsid w:val="00736C2F"/>
    <w:rsid w:val="00742981"/>
    <w:rsid w:val="0074402E"/>
    <w:rsid w:val="00760FFA"/>
    <w:rsid w:val="00766257"/>
    <w:rsid w:val="0078684C"/>
    <w:rsid w:val="007925A6"/>
    <w:rsid w:val="007976EB"/>
    <w:rsid w:val="007A3BE6"/>
    <w:rsid w:val="007B7DBD"/>
    <w:rsid w:val="007C06AB"/>
    <w:rsid w:val="007C3034"/>
    <w:rsid w:val="007E0FFB"/>
    <w:rsid w:val="007E3D52"/>
    <w:rsid w:val="007E61C1"/>
    <w:rsid w:val="007F0C15"/>
    <w:rsid w:val="008029D5"/>
    <w:rsid w:val="008029DC"/>
    <w:rsid w:val="008043A8"/>
    <w:rsid w:val="00821CA6"/>
    <w:rsid w:val="008317E3"/>
    <w:rsid w:val="008326A0"/>
    <w:rsid w:val="0085176A"/>
    <w:rsid w:val="00870A4B"/>
    <w:rsid w:val="00873415"/>
    <w:rsid w:val="00873CA6"/>
    <w:rsid w:val="0089684F"/>
    <w:rsid w:val="008B18EE"/>
    <w:rsid w:val="008B1A6A"/>
    <w:rsid w:val="008C0C28"/>
    <w:rsid w:val="008D09A1"/>
    <w:rsid w:val="008E171F"/>
    <w:rsid w:val="008E54BF"/>
    <w:rsid w:val="008F00D4"/>
    <w:rsid w:val="008F49DD"/>
    <w:rsid w:val="008F5061"/>
    <w:rsid w:val="00910194"/>
    <w:rsid w:val="009160E5"/>
    <w:rsid w:val="00917654"/>
    <w:rsid w:val="0094706A"/>
    <w:rsid w:val="009534DE"/>
    <w:rsid w:val="00977404"/>
    <w:rsid w:val="009B1ED0"/>
    <w:rsid w:val="009C0A86"/>
    <w:rsid w:val="009D7587"/>
    <w:rsid w:val="009E0912"/>
    <w:rsid w:val="00A0601B"/>
    <w:rsid w:val="00A110CC"/>
    <w:rsid w:val="00A27258"/>
    <w:rsid w:val="00A35F64"/>
    <w:rsid w:val="00A4041F"/>
    <w:rsid w:val="00A47862"/>
    <w:rsid w:val="00A65C28"/>
    <w:rsid w:val="00A76A20"/>
    <w:rsid w:val="00A80079"/>
    <w:rsid w:val="00AC1A38"/>
    <w:rsid w:val="00AC6655"/>
    <w:rsid w:val="00AD2611"/>
    <w:rsid w:val="00B21283"/>
    <w:rsid w:val="00B32243"/>
    <w:rsid w:val="00B34B86"/>
    <w:rsid w:val="00B4252E"/>
    <w:rsid w:val="00B47BBC"/>
    <w:rsid w:val="00B52F43"/>
    <w:rsid w:val="00B9404E"/>
    <w:rsid w:val="00BA4A6A"/>
    <w:rsid w:val="00BB1F62"/>
    <w:rsid w:val="00BC0386"/>
    <w:rsid w:val="00BE35AC"/>
    <w:rsid w:val="00BF16BB"/>
    <w:rsid w:val="00C14B02"/>
    <w:rsid w:val="00C26DD9"/>
    <w:rsid w:val="00C328E3"/>
    <w:rsid w:val="00C35E44"/>
    <w:rsid w:val="00C51C53"/>
    <w:rsid w:val="00C52AA5"/>
    <w:rsid w:val="00C8509A"/>
    <w:rsid w:val="00CC3AD4"/>
    <w:rsid w:val="00CD1858"/>
    <w:rsid w:val="00CD4584"/>
    <w:rsid w:val="00CE64AF"/>
    <w:rsid w:val="00CF0108"/>
    <w:rsid w:val="00CF2168"/>
    <w:rsid w:val="00CF5E88"/>
    <w:rsid w:val="00D04C1D"/>
    <w:rsid w:val="00D07C83"/>
    <w:rsid w:val="00D265F3"/>
    <w:rsid w:val="00D30AEA"/>
    <w:rsid w:val="00D36438"/>
    <w:rsid w:val="00D41370"/>
    <w:rsid w:val="00D7031F"/>
    <w:rsid w:val="00D759BA"/>
    <w:rsid w:val="00D85705"/>
    <w:rsid w:val="00DC1031"/>
    <w:rsid w:val="00DE1F27"/>
    <w:rsid w:val="00DF12AA"/>
    <w:rsid w:val="00DF3ADE"/>
    <w:rsid w:val="00E061E6"/>
    <w:rsid w:val="00E17B65"/>
    <w:rsid w:val="00E3068C"/>
    <w:rsid w:val="00E52C7E"/>
    <w:rsid w:val="00E61DE4"/>
    <w:rsid w:val="00E767A9"/>
    <w:rsid w:val="00E82E7C"/>
    <w:rsid w:val="00EA1D55"/>
    <w:rsid w:val="00EA7D39"/>
    <w:rsid w:val="00ED4408"/>
    <w:rsid w:val="00EE5800"/>
    <w:rsid w:val="00EF09BA"/>
    <w:rsid w:val="00EF4DA1"/>
    <w:rsid w:val="00F36C69"/>
    <w:rsid w:val="00F429F8"/>
    <w:rsid w:val="00F8457F"/>
    <w:rsid w:val="00F8552B"/>
    <w:rsid w:val="00FA0399"/>
    <w:rsid w:val="00FC0C73"/>
    <w:rsid w:val="00FC2723"/>
    <w:rsid w:val="00FC6BFC"/>
    <w:rsid w:val="00FD129F"/>
    <w:rsid w:val="00FD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1680017"/>
  <w15:docId w15:val="{59430702-903C-4455-8C8C-B03E3B6B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17B4"/>
    <w:rPr>
      <w:sz w:val="24"/>
      <w:lang w:val="en-GB" w:eastAsia="en-US"/>
    </w:rPr>
  </w:style>
  <w:style w:type="paragraph" w:styleId="Heading1">
    <w:name w:val="heading 1"/>
    <w:aliases w:val="Heading 1 Char2,Heading 1 Char Char1,Heading 1 Char1 Char Char,Heading 1 Char Char Char Char,Heading 1 Char1 Char Char Char Char Char,Heading 1 Char Char Char Char Char Char Char,Heading 1 Char1 Char1,Heading 1 Char Char Char1,Heading 1 Char"/>
    <w:basedOn w:val="Normal"/>
    <w:next w:val="Normal"/>
    <w:link w:val="Heading1Char1"/>
    <w:qFormat/>
    <w:pPr>
      <w:keepNext/>
      <w:spacing w:before="240" w:after="60"/>
      <w:outlineLvl w:val="0"/>
    </w:pPr>
    <w:rPr>
      <w:b/>
      <w:spacing w:val="-2"/>
      <w:kern w:val="28"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720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4C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eading 1 Char2 Char,Heading 1 Char Char1 Char,Heading 1 Char1 Char Char Char,Heading 1 Char Char Char Char Char,Heading 1 Char1 Char Char Char Char Char Char,Heading 1 Char Char Char Char Char Char Char Char,Heading 1 Char1 Char1 Char"/>
    <w:link w:val="Heading1"/>
    <w:rsid w:val="004C17B4"/>
    <w:rPr>
      <w:b/>
      <w:spacing w:val="-2"/>
      <w:kern w:val="28"/>
      <w:sz w:val="28"/>
      <w:lang w:val="en-AU" w:eastAsia="en-US" w:bidi="ar-SA"/>
    </w:rPr>
  </w:style>
  <w:style w:type="character" w:styleId="CommentReference">
    <w:name w:val="annotation reference"/>
    <w:semiHidden/>
    <w:rsid w:val="00592955"/>
    <w:rPr>
      <w:sz w:val="16"/>
      <w:szCs w:val="16"/>
    </w:rPr>
  </w:style>
  <w:style w:type="paragraph" w:styleId="CommentText">
    <w:name w:val="annotation text"/>
    <w:basedOn w:val="Normal"/>
    <w:semiHidden/>
    <w:rsid w:val="00592955"/>
    <w:rPr>
      <w:sz w:val="20"/>
    </w:rPr>
  </w:style>
  <w:style w:type="paragraph" w:styleId="CommentSubject">
    <w:name w:val="annotation subject"/>
    <w:basedOn w:val="CommentText"/>
    <w:next w:val="CommentText"/>
    <w:semiHidden/>
    <w:rsid w:val="00592955"/>
    <w:rPr>
      <w:b/>
      <w:bCs/>
    </w:rPr>
  </w:style>
  <w:style w:type="paragraph" w:styleId="BalloonText">
    <w:name w:val="Balloon Text"/>
    <w:basedOn w:val="Normal"/>
    <w:semiHidden/>
    <w:rsid w:val="00592955"/>
    <w:rPr>
      <w:rFonts w:ascii="Tahoma" w:hAnsi="Tahoma" w:cs="Tahoma"/>
      <w:sz w:val="16"/>
      <w:szCs w:val="16"/>
    </w:rPr>
  </w:style>
  <w:style w:type="character" w:styleId="Hyperlink">
    <w:name w:val="Hyperlink"/>
    <w:rsid w:val="00055EFF"/>
    <w:rPr>
      <w:color w:val="0000FF"/>
      <w:u w:val="single"/>
    </w:rPr>
  </w:style>
  <w:style w:type="paragraph" w:customStyle="1" w:styleId="Default">
    <w:name w:val="Default"/>
    <w:rsid w:val="00DF12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BDE5-F256-408E-9BDC-B2312A2B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1461</Characters>
  <Application>Microsoft Office Word</Application>
  <DocSecurity>0</DocSecurity>
  <Lines>73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SF1014</vt:lpstr>
    </vt:vector>
  </TitlesOfParts>
  <Company>Tamworth Regional Council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SF1014</dc:title>
  <dc:creator>Colleen Riboldi</dc:creator>
  <cp:lastModifiedBy>McPherson, Lauren</cp:lastModifiedBy>
  <cp:revision>4</cp:revision>
  <cp:lastPrinted>2021-10-27T00:43:00Z</cp:lastPrinted>
  <dcterms:created xsi:type="dcterms:W3CDTF">2021-10-27T00:17:00Z</dcterms:created>
  <dcterms:modified xsi:type="dcterms:W3CDTF">2021-10-27T00:53:00Z</dcterms:modified>
</cp:coreProperties>
</file>